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/>
          <w:szCs w:val="21"/>
        </w:rPr>
        <w:drawing>
          <wp:inline distT="0" distB="0" distL="114300" distR="114300">
            <wp:extent cx="1139190" cy="1564640"/>
            <wp:effectExtent l="0" t="0" r="3810" b="16510"/>
            <wp:docPr id="1" name="图片 1" descr="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周舜隆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 </w:t>
      </w:r>
    </w:p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  <w:t>：讲师（校聘副教授）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男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江苏海安人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中国政法大学法学博士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宪法学，民商法学，具体包括央地关系、司法制度、人格权法等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无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在《比较法研究》《新华文摘》《中国宪法事例研究》《审判研究》《南通大学学报》《人民司法》《人民法院报》《人民法院案例选》《中国审判案例要览》等各类报刊发表《司法三段论在法律适用中的局限性》《统一问题要论》《调解与审判关系探析》《司法权统一性问题研究》《应届大学生系适格劳动合同关系主体》等论文、案例分析五十余篇。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234337"/>
    <w:rsid w:val="003C06DF"/>
    <w:rsid w:val="00526887"/>
    <w:rsid w:val="006869F2"/>
    <w:rsid w:val="00691AAB"/>
    <w:rsid w:val="00735F4B"/>
    <w:rsid w:val="007739F1"/>
    <w:rsid w:val="00827B66"/>
    <w:rsid w:val="00B051AA"/>
    <w:rsid w:val="00B866F7"/>
    <w:rsid w:val="00BB79DC"/>
    <w:rsid w:val="00C73D8E"/>
    <w:rsid w:val="00CE55CB"/>
    <w:rsid w:val="00F00116"/>
    <w:rsid w:val="027F36F6"/>
    <w:rsid w:val="12B03C54"/>
    <w:rsid w:val="1EAD4FD5"/>
    <w:rsid w:val="268D75F2"/>
    <w:rsid w:val="29C52E84"/>
    <w:rsid w:val="44A1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uiPriority w:val="0"/>
  </w:style>
  <w:style w:type="character" w:customStyle="1" w:styleId="12">
    <w:name w:val="name"/>
    <w:basedOn w:val="7"/>
    <w:uiPriority w:val="0"/>
  </w:style>
  <w:style w:type="character" w:customStyle="1" w:styleId="13">
    <w:name w:val="position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340</Words>
  <Characters>340</Characters>
  <Lines>1</Lines>
  <Paragraphs>1</Paragraphs>
  <TotalTime>3</TotalTime>
  <ScaleCrop>false</ScaleCrop>
  <LinksUpToDate>false</LinksUpToDate>
  <CharactersWithSpaces>360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2023-07-28T08:40:25Z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A8FF9ED17E74406FA906F9F3A8CDB483_13</vt:lpwstr>
  </property>
</Properties>
</file>